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D9" w:rsidRDefault="000655D9" w:rsidP="000655D9">
      <w:pPr>
        <w:pStyle w:val="NormalWeb"/>
        <w:spacing w:line="226" w:lineRule="atLeast"/>
        <w:rPr>
          <w:rFonts w:ascii="Verdana" w:hAnsi="Verdana"/>
          <w:color w:val="000000"/>
          <w:sz w:val="17"/>
          <w:szCs w:val="17"/>
        </w:rPr>
      </w:pPr>
      <w:proofErr w:type="gramStart"/>
      <w:r w:rsidRPr="000655D9">
        <w:rPr>
          <w:rFonts w:ascii="Verdana" w:hAnsi="Verdana"/>
          <w:color w:val="000000"/>
          <w:sz w:val="17"/>
          <w:szCs w:val="17"/>
          <w:highlight w:val="yellow"/>
        </w:rPr>
        <w:t>Ligji nr.</w:t>
      </w:r>
      <w:proofErr w:type="gramEnd"/>
      <w:r w:rsidRPr="000655D9">
        <w:rPr>
          <w:rFonts w:ascii="Verdana" w:hAnsi="Verdana"/>
          <w:color w:val="000000"/>
          <w:sz w:val="17"/>
          <w:szCs w:val="17"/>
          <w:highlight w:val="yellow"/>
        </w:rPr>
        <w:t xml:space="preserve"> </w:t>
      </w:r>
      <w:proofErr w:type="gramStart"/>
      <w:r w:rsidRPr="000655D9">
        <w:rPr>
          <w:rFonts w:ascii="Verdana" w:hAnsi="Verdana"/>
          <w:color w:val="000000"/>
          <w:sz w:val="17"/>
          <w:szCs w:val="17"/>
          <w:highlight w:val="yellow"/>
        </w:rPr>
        <w:t>8615, datë 1.6.2000, "Për Urdhrin e Mjekëve në Republikën e Shqipërisë", i ndryshuar, si dhe çdo dispozitë tjetër, që bie në kundërshtim me këtë ligj, shfuqizohen.</w:t>
      </w:r>
      <w:proofErr w:type="gramEnd"/>
    </w:p>
    <w:p w:rsidR="000655D9" w:rsidRDefault="000655D9" w:rsidP="000655D9">
      <w:pPr>
        <w:pStyle w:val="NormalWeb"/>
        <w:spacing w:line="226" w:lineRule="atLeast"/>
        <w:rPr>
          <w:rFonts w:ascii="Verdana" w:hAnsi="Verdana"/>
          <w:b/>
          <w:color w:val="000000"/>
          <w:sz w:val="17"/>
          <w:szCs w:val="17"/>
        </w:rPr>
      </w:pPr>
    </w:p>
    <w:p w:rsidR="000655D9" w:rsidRPr="000655D9" w:rsidRDefault="000655D9" w:rsidP="000655D9">
      <w:pPr>
        <w:pStyle w:val="NormalWeb"/>
        <w:spacing w:line="226" w:lineRule="atLeast"/>
        <w:rPr>
          <w:rFonts w:ascii="Verdana" w:hAnsi="Verdana"/>
          <w:b/>
          <w:color w:val="000000"/>
          <w:sz w:val="17"/>
          <w:szCs w:val="17"/>
        </w:rPr>
      </w:pPr>
      <w:r w:rsidRPr="000655D9">
        <w:rPr>
          <w:rFonts w:ascii="Verdana" w:hAnsi="Verdana"/>
          <w:b/>
          <w:color w:val="000000"/>
          <w:sz w:val="17"/>
          <w:szCs w:val="17"/>
        </w:rPr>
        <w:t>LIGJ Nr. 123/2014</w:t>
      </w:r>
    </w:p>
    <w:p w:rsidR="000655D9" w:rsidRPr="000655D9" w:rsidRDefault="000655D9" w:rsidP="000655D9">
      <w:pPr>
        <w:pStyle w:val="NormalWeb"/>
        <w:spacing w:line="226" w:lineRule="atLeast"/>
        <w:rPr>
          <w:rFonts w:ascii="Verdana" w:hAnsi="Verdana"/>
          <w:b/>
          <w:color w:val="000000"/>
          <w:sz w:val="17"/>
          <w:szCs w:val="17"/>
        </w:rPr>
      </w:pPr>
      <w:r w:rsidRPr="000655D9">
        <w:rPr>
          <w:rFonts w:ascii="Verdana" w:hAnsi="Verdana"/>
          <w:b/>
          <w:color w:val="000000"/>
          <w:sz w:val="17"/>
          <w:szCs w:val="17"/>
        </w:rPr>
        <w:t>PËR URDHRIN E MJEKËVE NË REPUBLIKËN E SHQIPËRISË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Në mbështetje të neneve 78 dhe 83, pika 1, të Kushtetutës, me propozimin e Këshillit të Ministrave,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KUVENDI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I REPUBLIKËS SË SHQIPËRISË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VENDOSI: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KREU 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DISPOZITA TË PËRGJITHSHME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1</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Qëllimi i ligjit</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Ligji ka si qëllim përcaktimin e rregullave të organizimit dhe të veprimtarisë së Urdhrit të Mjekëve dhe marrëdhëniet juridike të profesionistëve mjekësorë.</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2</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Fusha e zbatimit</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Ky</w:t>
      </w:r>
      <w:proofErr w:type="gramEnd"/>
      <w:r>
        <w:rPr>
          <w:rFonts w:ascii="Verdana" w:hAnsi="Verdana"/>
          <w:color w:val="000000"/>
          <w:sz w:val="17"/>
          <w:szCs w:val="17"/>
        </w:rPr>
        <w:t xml:space="preserve"> ligj zbatohet për të gjithë mjekët që ushtrojnë profesionin në Republikën e Shqipërisë në sistemin publik apo privat.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3</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Statusi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Urdhri i Mjekëve është </w:t>
      </w:r>
      <w:proofErr w:type="gramStart"/>
      <w:r>
        <w:rPr>
          <w:rFonts w:ascii="Verdana" w:hAnsi="Verdana"/>
          <w:color w:val="000000"/>
          <w:sz w:val="17"/>
          <w:szCs w:val="17"/>
        </w:rPr>
        <w:t>ent</w:t>
      </w:r>
      <w:proofErr w:type="gramEnd"/>
      <w:r>
        <w:rPr>
          <w:rFonts w:ascii="Verdana" w:hAnsi="Verdana"/>
          <w:color w:val="000000"/>
          <w:sz w:val="17"/>
          <w:szCs w:val="17"/>
        </w:rPr>
        <w:t xml:space="preserve"> publik jobuxhetor, profesional, i pavarur, i cili përfaqëson dhe mbron interesat e përbashkët të anëtarëve të Urdhrit dhe rregullon veprimtaritë dhe marrëdhëniet midis tyre, në funksion të publikut.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KREU II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MISIONI DHE BUXHETI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4</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Misioni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lastRenderedPageBreak/>
        <w:t>1. Misioni i Urdhrit të Mjekëve është ruajtja e standardeve të larta në formimin dhe ushtrimin e profesioneve në fushën e mjekësisë dhe mbrojtja e pacientëve dhe publikut nga kequshtrimi i profesionit të mjekut.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Për të përmbushur misionin e tij, Urdhri i Mjekëve ushtron këto kompetenca:</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jep</w:t>
      </w:r>
      <w:proofErr w:type="gramEnd"/>
      <w:r>
        <w:rPr>
          <w:rFonts w:ascii="Verdana" w:hAnsi="Verdana"/>
          <w:color w:val="000000"/>
          <w:sz w:val="17"/>
          <w:szCs w:val="17"/>
        </w:rPr>
        <w:t xml:space="preserve"> dhe heq licencën individuale të ushtrimit të profesionit;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vendos</w:t>
      </w:r>
      <w:proofErr w:type="gramEnd"/>
      <w:r>
        <w:rPr>
          <w:rFonts w:ascii="Verdana" w:hAnsi="Verdana"/>
          <w:color w:val="000000"/>
          <w:sz w:val="17"/>
          <w:szCs w:val="17"/>
        </w:rPr>
        <w:t xml:space="preserve"> standarde etike dhe deontologjike, të detyrueshme për çdo mjek dhe monitoron zbatimin e tyre gjatë ushtrimit të profesionit;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rivlerëson</w:t>
      </w:r>
      <w:proofErr w:type="gramEnd"/>
      <w:r>
        <w:rPr>
          <w:rFonts w:ascii="Verdana" w:hAnsi="Verdana"/>
          <w:color w:val="000000"/>
          <w:sz w:val="17"/>
          <w:szCs w:val="17"/>
        </w:rPr>
        <w:t xml:space="preserve"> periodikisht kompetencën dhe performancën profesionale të anëtarit të Urdhrit përballë standardeve të vendosura;</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ç) </w:t>
      </w:r>
      <w:proofErr w:type="gramStart"/>
      <w:r>
        <w:rPr>
          <w:rFonts w:ascii="Verdana" w:hAnsi="Verdana"/>
          <w:color w:val="000000"/>
          <w:sz w:val="17"/>
          <w:szCs w:val="17"/>
        </w:rPr>
        <w:t>nxit</w:t>
      </w:r>
      <w:proofErr w:type="gramEnd"/>
      <w:r>
        <w:rPr>
          <w:rFonts w:ascii="Verdana" w:hAnsi="Verdana"/>
          <w:color w:val="000000"/>
          <w:sz w:val="17"/>
          <w:szCs w:val="17"/>
        </w:rPr>
        <w:t xml:space="preserve"> arritjen e standardeve të larta në edukimin dhe formimin profesional dhe etik të anëtarëve të Urdhrit;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d) </w:t>
      </w:r>
      <w:proofErr w:type="gramStart"/>
      <w:r>
        <w:rPr>
          <w:rFonts w:ascii="Verdana" w:hAnsi="Verdana"/>
          <w:color w:val="000000"/>
          <w:sz w:val="17"/>
          <w:szCs w:val="17"/>
        </w:rPr>
        <w:t>bashkëpunon</w:t>
      </w:r>
      <w:proofErr w:type="gramEnd"/>
      <w:r>
        <w:rPr>
          <w:rFonts w:ascii="Verdana" w:hAnsi="Verdana"/>
          <w:color w:val="000000"/>
          <w:sz w:val="17"/>
          <w:szCs w:val="17"/>
        </w:rPr>
        <w:t xml:space="preserve"> me Qendrën Kombëtare të Edukimit në Vazhdim, institucione të tjera shkencore dhe arsimore për të siguruar standard të larta në Edukimin e Vazhdueshëm Mjekësor, kualifikimet dhe specializimet pasuniversitare të Urdhrit;</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dh</w:t>
      </w:r>
      <w:proofErr w:type="gramEnd"/>
      <w:r>
        <w:rPr>
          <w:rFonts w:ascii="Verdana" w:hAnsi="Verdana"/>
          <w:color w:val="000000"/>
          <w:sz w:val="17"/>
          <w:szCs w:val="17"/>
        </w:rPr>
        <w:t>) mban Regjistrin Themeltar të Urdhrit dhe menaxhon sistemin e administrimit dhe përditësimit të tij;</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e) </w:t>
      </w:r>
      <w:proofErr w:type="gramStart"/>
      <w:r>
        <w:rPr>
          <w:rFonts w:ascii="Verdana" w:hAnsi="Verdana"/>
          <w:color w:val="000000"/>
          <w:sz w:val="17"/>
          <w:szCs w:val="17"/>
        </w:rPr>
        <w:t>mbron</w:t>
      </w:r>
      <w:proofErr w:type="gramEnd"/>
      <w:r>
        <w:rPr>
          <w:rFonts w:ascii="Verdana" w:hAnsi="Verdana"/>
          <w:color w:val="000000"/>
          <w:sz w:val="17"/>
          <w:szCs w:val="17"/>
        </w:rPr>
        <w:t xml:space="preserve"> të drejtat e anëtarëve të Urdhrit, integritetin moral dhe profesional të tyre e të profesionit mjekësor.</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5</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Kriteret e anëtarësisë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1. Asnjë individ nuk mund të ushtrojë profesionin e mjekut, në sistemin e kujdesit shëndetësor publik apo privat në Republikën e Shqipërisë, pa qenë anëtar i Urdhrit të Mjekëve dhe pa qenë i pajisur me licencën për ushtrimin individual të profesionit, të lëshuar nga </w:t>
      </w:r>
      <w:proofErr w:type="gramStart"/>
      <w:r>
        <w:rPr>
          <w:rFonts w:ascii="Verdana" w:hAnsi="Verdana"/>
          <w:color w:val="000000"/>
          <w:sz w:val="17"/>
          <w:szCs w:val="17"/>
        </w:rPr>
        <w:t>ky</w:t>
      </w:r>
      <w:proofErr w:type="gramEnd"/>
      <w:r>
        <w:rPr>
          <w:rFonts w:ascii="Verdana" w:hAnsi="Verdana"/>
          <w:color w:val="000000"/>
          <w:sz w:val="17"/>
          <w:szCs w:val="17"/>
        </w:rPr>
        <w:t xml:space="preserve"> organizëm.</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Janë anëtarë të Urdhrit të Mjekëve të gjithë mjekët që ushtrojnë profesionin e mjekut/mjekut specialist në Republikën e Shqipërisë dhe që përmbushin kriteret e mëposhtme: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të</w:t>
      </w:r>
      <w:proofErr w:type="gramEnd"/>
      <w:r>
        <w:rPr>
          <w:rFonts w:ascii="Verdana" w:hAnsi="Verdana"/>
          <w:color w:val="000000"/>
          <w:sz w:val="17"/>
          <w:szCs w:val="17"/>
        </w:rPr>
        <w:t xml:space="preserve"> jenë shtetas shqiptarë;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të</w:t>
      </w:r>
      <w:proofErr w:type="gramEnd"/>
      <w:r>
        <w:rPr>
          <w:rFonts w:ascii="Verdana" w:hAnsi="Verdana"/>
          <w:color w:val="000000"/>
          <w:sz w:val="17"/>
          <w:szCs w:val="17"/>
        </w:rPr>
        <w:t xml:space="preserve"> kenë diplomën e mjekut, mjekët specialistë edhe diplomën e specialitetit, të lëshuar nga institucioni i arsimit të lartë brenda apo jashtë shtetit, të njohura nga ministria përgjegjëse për arsimin;</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të</w:t>
      </w:r>
      <w:proofErr w:type="gramEnd"/>
      <w:r>
        <w:rPr>
          <w:rFonts w:ascii="Verdana" w:hAnsi="Verdana"/>
          <w:color w:val="000000"/>
          <w:sz w:val="17"/>
          <w:szCs w:val="17"/>
        </w:rPr>
        <w:t xml:space="preserve"> mos jenë të dënuar me vendim të formës së prerë për kryerjen e një krimi apo për kryerjen e një kundërvajtjeje penale me dashje, në momentin e kërkesës për anëtarësim;</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ç) </w:t>
      </w:r>
      <w:proofErr w:type="gramStart"/>
      <w:r>
        <w:rPr>
          <w:rFonts w:ascii="Verdana" w:hAnsi="Verdana"/>
          <w:color w:val="000000"/>
          <w:sz w:val="17"/>
          <w:szCs w:val="17"/>
        </w:rPr>
        <w:t>të</w:t>
      </w:r>
      <w:proofErr w:type="gramEnd"/>
      <w:r>
        <w:rPr>
          <w:rFonts w:ascii="Verdana" w:hAnsi="Verdana"/>
          <w:color w:val="000000"/>
          <w:sz w:val="17"/>
          <w:szCs w:val="17"/>
        </w:rPr>
        <w:t xml:space="preserve"> njohin dhe të zotohen me shkrim se do të zbatojnë kërkesat e legjislacionit në fuqi, statutit, Betimin e Mjekut dhe Kodin e Etikës dhe Deontologjisë Mjekësore.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3. Çdo mjek, shtetas i huaj, që të ushtrojë profesionin si rezident në Shqipëri, apo i atashuar në një institucion shëndetësor ku vjen periodikisht për ushtrimin e profesionit, duhet të ketë edhe këto dokumente: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lejen</w:t>
      </w:r>
      <w:proofErr w:type="gramEnd"/>
      <w:r>
        <w:rPr>
          <w:rFonts w:ascii="Verdana" w:hAnsi="Verdana"/>
          <w:color w:val="000000"/>
          <w:sz w:val="17"/>
          <w:szCs w:val="17"/>
        </w:rPr>
        <w:t xml:space="preserve"> e qëndrimit dhe të punës në Republikën e Shqipërisë;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lastRenderedPageBreak/>
        <w:t xml:space="preserve">b) </w:t>
      </w:r>
      <w:proofErr w:type="gramStart"/>
      <w:r>
        <w:rPr>
          <w:rFonts w:ascii="Verdana" w:hAnsi="Verdana"/>
          <w:color w:val="000000"/>
          <w:sz w:val="17"/>
          <w:szCs w:val="17"/>
        </w:rPr>
        <w:t>certifikatën</w:t>
      </w:r>
      <w:proofErr w:type="gramEnd"/>
      <w:r>
        <w:rPr>
          <w:rFonts w:ascii="Verdana" w:hAnsi="Verdana"/>
          <w:color w:val="000000"/>
          <w:sz w:val="17"/>
          <w:szCs w:val="17"/>
        </w:rPr>
        <w:t xml:space="preserve"> e mirësjelljes (Good Standing Certificate) nga Urdhri/dhoma apo shoqata e mjekëve të vendit të vet, ku vërtetohet se është i regjistruar, e ushtron profesionin dhe se nuk ka marrë masa ndëshkimore;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njësimin</w:t>
      </w:r>
      <w:proofErr w:type="gramEnd"/>
      <w:r>
        <w:rPr>
          <w:rFonts w:ascii="Verdana" w:hAnsi="Verdana"/>
          <w:color w:val="000000"/>
          <w:sz w:val="17"/>
          <w:szCs w:val="17"/>
        </w:rPr>
        <w:t xml:space="preserve"> (konvalidimin) e diplomës dhe certifikatave të specializimeve të kryera prej tij/saj;</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ç) </w:t>
      </w:r>
      <w:proofErr w:type="gramStart"/>
      <w:r>
        <w:rPr>
          <w:rFonts w:ascii="Verdana" w:hAnsi="Verdana"/>
          <w:color w:val="000000"/>
          <w:sz w:val="17"/>
          <w:szCs w:val="17"/>
        </w:rPr>
        <w:t>një</w:t>
      </w:r>
      <w:proofErr w:type="gramEnd"/>
      <w:r>
        <w:rPr>
          <w:rFonts w:ascii="Verdana" w:hAnsi="Verdana"/>
          <w:color w:val="000000"/>
          <w:sz w:val="17"/>
          <w:szCs w:val="17"/>
        </w:rPr>
        <w:t xml:space="preserve"> rekomandim nga një specialist vendas i së njëjtës fushë, anëtar i Urdhrit të Mjekëve;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d) </w:t>
      </w:r>
      <w:proofErr w:type="gramStart"/>
      <w:r>
        <w:rPr>
          <w:rFonts w:ascii="Verdana" w:hAnsi="Verdana"/>
          <w:color w:val="000000"/>
          <w:sz w:val="17"/>
          <w:szCs w:val="17"/>
        </w:rPr>
        <w:t>dëshmi</w:t>
      </w:r>
      <w:proofErr w:type="gramEnd"/>
      <w:r>
        <w:rPr>
          <w:rFonts w:ascii="Verdana" w:hAnsi="Verdana"/>
          <w:color w:val="000000"/>
          <w:sz w:val="17"/>
          <w:szCs w:val="17"/>
        </w:rPr>
        <w:t xml:space="preserve"> të njohjes së gjuhës shqipe, të vërtetuar nga një autoritet i licencuar nga shteti. </w:t>
      </w:r>
      <w:proofErr w:type="gramStart"/>
      <w:r>
        <w:rPr>
          <w:rFonts w:ascii="Verdana" w:hAnsi="Verdana"/>
          <w:color w:val="000000"/>
          <w:sz w:val="17"/>
          <w:szCs w:val="17"/>
        </w:rPr>
        <w:t>Mjeku jorezident detyrimisht punon me përkthyes.</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6</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Të drejtat e anëtarit të Urdhrit të Mjekëve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Anëtari i Urdhrit të Mjekëve ka të drejtë: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1. Të ushtrojë profesionin në profilin e vet;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Të ankohet në organet e Urdhrit kur i shkelen të drejtat dhe mundësitë për ushtrim autonom, të lirë dhe të pavarur të profesionit nga cilido qoftë;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3. Të marrë pjesë në shqyrtimin nga orga-nizmat e Urdhrit për probleme që kanë të bëjnë me personin e tij;</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4. Të kërkojë krijimin e kushteve të favorshme për ushtrimin normal të profesionit, për Edukimin e Vazhdueshëm Mjekësor dhe për përparimin e karrierës.</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7</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Ndërprerja e anëtarësimit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1. Anëtarit të Urdhrit të Mjekëve i ndërpritet anëtarësia në këto raste: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kur</w:t>
      </w:r>
      <w:proofErr w:type="gramEnd"/>
      <w:r>
        <w:rPr>
          <w:rFonts w:ascii="Verdana" w:hAnsi="Verdana"/>
          <w:color w:val="000000"/>
          <w:sz w:val="17"/>
          <w:szCs w:val="17"/>
        </w:rPr>
        <w:t xml:space="preserve"> vdes;</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kur</w:t>
      </w:r>
      <w:proofErr w:type="gramEnd"/>
      <w:r>
        <w:rPr>
          <w:rFonts w:ascii="Verdana" w:hAnsi="Verdana"/>
          <w:color w:val="000000"/>
          <w:sz w:val="17"/>
          <w:szCs w:val="17"/>
        </w:rPr>
        <w:t xml:space="preserve"> i hiqet licenca individuale e ushtrimit të profesionit me vendim disiplinor të formës së prerë nga organet e Urdhrit apo të gjykatës;</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kur</w:t>
      </w:r>
      <w:proofErr w:type="gramEnd"/>
      <w:r>
        <w:rPr>
          <w:rFonts w:ascii="Verdana" w:hAnsi="Verdana"/>
          <w:color w:val="000000"/>
          <w:sz w:val="17"/>
          <w:szCs w:val="17"/>
        </w:rPr>
        <w:t xml:space="preserve"> është duke vuajtur dënimin penal me heqje lirie;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ç) </w:t>
      </w:r>
      <w:proofErr w:type="gramStart"/>
      <w:r>
        <w:rPr>
          <w:rFonts w:ascii="Verdana" w:hAnsi="Verdana"/>
          <w:color w:val="000000"/>
          <w:sz w:val="17"/>
          <w:szCs w:val="17"/>
        </w:rPr>
        <w:t>kur</w:t>
      </w:r>
      <w:proofErr w:type="gramEnd"/>
      <w:r>
        <w:rPr>
          <w:rFonts w:ascii="Verdana" w:hAnsi="Verdana"/>
          <w:color w:val="000000"/>
          <w:sz w:val="17"/>
          <w:szCs w:val="17"/>
        </w:rPr>
        <w:t xml:space="preserve"> nuk shlyhen kuotizacionet në përputhje me afatet e vendosura nga Këshilli Kombëtar i Urdhrit dhe i kalon ato mbi 1 vit pa arsy e të justifikueshme.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Vendimi për ndërprerje të anëtarësisë i komunikohet zyrtarisht personit dhe institucionit ku ka shërbyer i ndëshkuari.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8</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Detyrimet e anëtarëve të Urdhrit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Anëtari i Urdhrit të Mjekëve ka këto detyrime: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lastRenderedPageBreak/>
        <w:t xml:space="preserve">a) </w:t>
      </w:r>
      <w:proofErr w:type="gramStart"/>
      <w:r>
        <w:rPr>
          <w:rFonts w:ascii="Verdana" w:hAnsi="Verdana"/>
          <w:color w:val="000000"/>
          <w:sz w:val="17"/>
          <w:szCs w:val="17"/>
        </w:rPr>
        <w:t>të</w:t>
      </w:r>
      <w:proofErr w:type="gramEnd"/>
      <w:r>
        <w:rPr>
          <w:rFonts w:ascii="Verdana" w:hAnsi="Verdana"/>
          <w:color w:val="000000"/>
          <w:sz w:val="17"/>
          <w:szCs w:val="17"/>
        </w:rPr>
        <w:t xml:space="preserve"> ushtrojë profesionin dhe të ketë sjellje profesionale, në përshtatje me kërkesat dhe standardet e legjislacionit shqiptar në fushën e shëndetësisë, Kodin e Etikës dhe Deontologjisë Mjekësore dhe statutin;</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të</w:t>
      </w:r>
      <w:proofErr w:type="gramEnd"/>
      <w:r>
        <w:rPr>
          <w:rFonts w:ascii="Verdana" w:hAnsi="Verdana"/>
          <w:color w:val="000000"/>
          <w:sz w:val="17"/>
          <w:szCs w:val="17"/>
        </w:rPr>
        <w:t xml:space="preserve"> punojë për rritjen e standardeve profesionale dhe të cilësisë së kujdesit shëndetësor në institucionin ku punon dhe të marrë pjesë rregullisht në programet e Edukimit të Vazhdueshëm Mjekësor;</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të</w:t>
      </w:r>
      <w:proofErr w:type="gramEnd"/>
      <w:r>
        <w:rPr>
          <w:rFonts w:ascii="Verdana" w:hAnsi="Verdana"/>
          <w:color w:val="000000"/>
          <w:sz w:val="17"/>
          <w:szCs w:val="17"/>
        </w:rPr>
        <w:t xml:space="preserve"> paguajë rregullisht kuotizacionet e anëtarësisë, tarifat e regjistrimit, të dhënies së të drejtës së ushtrimit të profesionit dhe shërbime të tjera administrative, në përputhje me këtë ligj dhe aktet nënligjore në zbatim të tij.</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9</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Bashkëpunimi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1. Urdhri i Mjekëve, gjatë veprimtarisë së tij, bashkëpunon me ministrinë përgjegjëse për shëndetësinë dhe institucionet e saj vartëse, si dhe me ministritë, institucionet qendrore, institucionet e arsimit të lartë dhe organizma të tjerë, publikë ose jopublikë, të krijuara sipas legjislacionit në fuqi.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2. Urdhri i Mjekëve informon çdo 6 muaj ministrinë përgjegjëse për fushën e shëndetësisë lidhur me anëtarësimet, gjykimet disiplinore dhe probleme të tjera me interes të ndërsjellë. </w:t>
      </w:r>
      <w:proofErr w:type="gramStart"/>
      <w:r>
        <w:rPr>
          <w:rFonts w:ascii="Verdana" w:hAnsi="Verdana"/>
          <w:color w:val="000000"/>
          <w:sz w:val="17"/>
          <w:szCs w:val="17"/>
        </w:rPr>
        <w:t>Ky</w:t>
      </w:r>
      <w:proofErr w:type="gramEnd"/>
      <w:r>
        <w:rPr>
          <w:rFonts w:ascii="Verdana" w:hAnsi="Verdana"/>
          <w:color w:val="000000"/>
          <w:sz w:val="17"/>
          <w:szCs w:val="17"/>
        </w:rPr>
        <w:t xml:space="preserve"> informacion publikohet edhe në faqen e internetit të Urdhrit.</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3. Inspektorati Shtetëror Shëndetësor bashkë-punon me Urdhrin e Mjekëve gjatë ushtrimit të funksionit të tij.</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4. Ministria e Shëndetësisë bashkëpunon me Urdhrin e Mjekëve për hartimin e projektligjeve dhe të dokumenteve të rëndësishme në fushën e shëndetësisë.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10</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Buxheti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1. Urdhri i Mjekëve ka buxhetin e tij, të cilin e miraton dhe e administron Këshilli Kombëtar, në përputhje me rregullat financiare në fuqi dhe me rregulloren e brendshme për veprimtarinë financiare të Urdhrit, të miratuar nga </w:t>
      </w:r>
      <w:proofErr w:type="gramStart"/>
      <w:r>
        <w:rPr>
          <w:rFonts w:ascii="Verdana" w:hAnsi="Verdana"/>
          <w:color w:val="000000"/>
          <w:sz w:val="17"/>
          <w:szCs w:val="17"/>
        </w:rPr>
        <w:t>ky</w:t>
      </w:r>
      <w:proofErr w:type="gramEnd"/>
      <w:r>
        <w:rPr>
          <w:rFonts w:ascii="Verdana" w:hAnsi="Verdana"/>
          <w:color w:val="000000"/>
          <w:sz w:val="17"/>
          <w:szCs w:val="17"/>
        </w:rPr>
        <w:t xml:space="preserve"> këshill.</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Burimet financiare të Urdhrit janë: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kuotizacionet</w:t>
      </w:r>
      <w:proofErr w:type="gramEnd"/>
      <w:r>
        <w:rPr>
          <w:rFonts w:ascii="Verdana" w:hAnsi="Verdana"/>
          <w:color w:val="000000"/>
          <w:sz w:val="17"/>
          <w:szCs w:val="17"/>
        </w:rPr>
        <w:t xml:space="preserve"> e anëtarëve, masa e të cilave përcaktohet me vendim të Këshillit Kombëtar dhe janë të detyrueshme për çdo anëtar;</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tarifat</w:t>
      </w:r>
      <w:proofErr w:type="gramEnd"/>
      <w:r>
        <w:rPr>
          <w:rFonts w:ascii="Verdana" w:hAnsi="Verdana"/>
          <w:color w:val="000000"/>
          <w:sz w:val="17"/>
          <w:szCs w:val="17"/>
        </w:rPr>
        <w:t xml:space="preserve"> e vendosura për aktet dhe dokumentet e lëshuara nga Urdhri;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donacione</w:t>
      </w:r>
      <w:proofErr w:type="gramEnd"/>
      <w:r>
        <w:rPr>
          <w:rFonts w:ascii="Verdana" w:hAnsi="Verdana"/>
          <w:color w:val="000000"/>
          <w:sz w:val="17"/>
          <w:szCs w:val="17"/>
        </w:rPr>
        <w:t xml:space="preserve"> të ndryshme dhe të ardhura të tjera të ligjshme.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3. Të ardhurat e siguruara, sipas përcaktimit të bërë në pikën 2, të këtij neni, Urdhri i përdor për të përmbushur synimet dhe objektivat e tij në përputhje statutin dhe me këtë ligj.</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KREU III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ORGANIZIMI DHE DREJTIMI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lastRenderedPageBreak/>
        <w:t>Neni 11</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Organet kryesore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1. Organet kryesore të Urdhrit janë: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asambletë</w:t>
      </w:r>
      <w:proofErr w:type="gramEnd"/>
      <w:r>
        <w:rPr>
          <w:rFonts w:ascii="Verdana" w:hAnsi="Verdana"/>
          <w:color w:val="000000"/>
          <w:sz w:val="17"/>
          <w:szCs w:val="17"/>
        </w:rPr>
        <w: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këshillat</w:t>
      </w:r>
      <w:proofErr w:type="gramEnd"/>
      <w:r>
        <w:rPr>
          <w:rFonts w:ascii="Verdana" w:hAnsi="Verdana"/>
          <w:color w:val="000000"/>
          <w:sz w:val="17"/>
          <w:szCs w:val="17"/>
        </w:rPr>
        <w: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presidentët</w:t>
      </w:r>
      <w:proofErr w:type="gramEnd"/>
      <w:r>
        <w:rPr>
          <w:rFonts w:ascii="Verdana" w:hAnsi="Verdana"/>
          <w:color w:val="000000"/>
          <w:sz w:val="17"/>
          <w:szCs w:val="17"/>
        </w:rPr>
        <w: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ç) </w:t>
      </w:r>
      <w:proofErr w:type="gramStart"/>
      <w:r>
        <w:rPr>
          <w:rFonts w:ascii="Verdana" w:hAnsi="Verdana"/>
          <w:color w:val="000000"/>
          <w:sz w:val="17"/>
          <w:szCs w:val="17"/>
        </w:rPr>
        <w:t>komisionet</w:t>
      </w:r>
      <w:proofErr w:type="gramEnd"/>
      <w:r>
        <w:rPr>
          <w:rFonts w:ascii="Verdana" w:hAnsi="Verdana"/>
          <w:color w:val="000000"/>
          <w:sz w:val="17"/>
          <w:szCs w:val="17"/>
        </w:rPr>
        <w:t xml:space="preserve"> e gjykimit disiplinor profesional.</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2. Zgjedhjet në organet e sipërpërmendura duhet të sigurojnë përfaqësim në masën 30 për qind për çdo gjini, në përputhje me ligjin nr. </w:t>
      </w:r>
      <w:proofErr w:type="gramStart"/>
      <w:r>
        <w:rPr>
          <w:rFonts w:ascii="Verdana" w:hAnsi="Verdana"/>
          <w:color w:val="000000"/>
          <w:sz w:val="17"/>
          <w:szCs w:val="17"/>
        </w:rPr>
        <w:t>9970, datë 24.7.2008, "Për barazinë gjinore në shoqëri".</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12</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Asambletë</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1. Asambleja Kombëtare është organi më i lartë drejtues i Urdhrit dhe përbëhet nga të gjithë anëtarët e këshillave rajonalë.</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Mbledhja e Asamblesë Kombëtare thirret nga:</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a) Presidenti i Këshillit Kombëtar;</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kur</w:t>
      </w:r>
      <w:proofErr w:type="gramEnd"/>
      <w:r>
        <w:rPr>
          <w:rFonts w:ascii="Verdana" w:hAnsi="Verdana"/>
          <w:color w:val="000000"/>
          <w:sz w:val="17"/>
          <w:szCs w:val="17"/>
        </w:rPr>
        <w:t xml:space="preserve"> kërkohet nga 1/3 e të gjithë anëtarëve të asamblesë.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3. Asambleja rajonale zgjedh këshillin rajonal.</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4. Përbërja e anëtarëve të asamblesë rajonale dhe procedurat e zgjedhjes së tyre përcaktohen në Statutin e Urdhrit të Mjekëve.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13</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Këshilli Kombëtar</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1. Këshilli Kombëtar përbëhet nga 25 anëtarë, ndër të cilët 20 janë anëtarë të zgjedhur nga Asambleja Kombëtare dhe 5 të tjerët janë, përkatësisht, Presidenti i Urdhrit të Mjekëve, zëvendësi i tij, një përfaqësues nga ministria përgjegjëse për shëndetësinë, një përfaqësues nga Fondi i Sigurimit të Detyrueshëm të Kujdesit Shëndetësor, një përfaqësues nga institucionet e arsimit të lartë, të caktuar nga Presidenti i Urdhrit, në bazë të kritereve të përcaktuara në statut.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Këshilli Kombëtar ka këto përgjegjësi: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miraton</w:t>
      </w:r>
      <w:proofErr w:type="gramEnd"/>
      <w:r>
        <w:rPr>
          <w:rFonts w:ascii="Verdana" w:hAnsi="Verdana"/>
          <w:color w:val="000000"/>
          <w:sz w:val="17"/>
          <w:szCs w:val="17"/>
        </w:rPr>
        <w:t xml:space="preserve"> strukturën e vet organizative dhe të këshillave rajonalë;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cakton</w:t>
      </w:r>
      <w:proofErr w:type="gramEnd"/>
      <w:r>
        <w:rPr>
          <w:rFonts w:ascii="Verdana" w:hAnsi="Verdana"/>
          <w:color w:val="000000"/>
          <w:sz w:val="17"/>
          <w:szCs w:val="17"/>
        </w:rPr>
        <w:t xml:space="preserve"> kuotizacionin dhe tarifat;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zgjedh</w:t>
      </w:r>
      <w:proofErr w:type="gramEnd"/>
      <w:r>
        <w:rPr>
          <w:rFonts w:ascii="Verdana" w:hAnsi="Verdana"/>
          <w:color w:val="000000"/>
          <w:sz w:val="17"/>
          <w:szCs w:val="17"/>
        </w:rPr>
        <w:t xml:space="preserve"> Presidentin e Urdhrit të Mjekëve dhe zëvendësin e tij;</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lastRenderedPageBreak/>
        <w:t xml:space="preserve">ç) </w:t>
      </w:r>
      <w:proofErr w:type="gramStart"/>
      <w:r>
        <w:rPr>
          <w:rFonts w:ascii="Verdana" w:hAnsi="Verdana"/>
          <w:color w:val="000000"/>
          <w:sz w:val="17"/>
          <w:szCs w:val="17"/>
        </w:rPr>
        <w:t>administron</w:t>
      </w:r>
      <w:proofErr w:type="gramEnd"/>
      <w:r>
        <w:rPr>
          <w:rFonts w:ascii="Verdana" w:hAnsi="Verdana"/>
          <w:color w:val="000000"/>
          <w:sz w:val="17"/>
          <w:szCs w:val="17"/>
        </w:rPr>
        <w:t xml:space="preserve"> pasuritë e luajtshme dhe të paluajtshme të Urdhrit në nivel kombëtar, duke përcaktuar fondet në administrimin e këshillave rajonalë;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d) </w:t>
      </w:r>
      <w:proofErr w:type="gramStart"/>
      <w:r>
        <w:rPr>
          <w:rFonts w:ascii="Verdana" w:hAnsi="Verdana"/>
          <w:color w:val="000000"/>
          <w:sz w:val="17"/>
          <w:szCs w:val="17"/>
        </w:rPr>
        <w:t>mbikëqyr</w:t>
      </w:r>
      <w:proofErr w:type="gramEnd"/>
      <w:r>
        <w:rPr>
          <w:rFonts w:ascii="Verdana" w:hAnsi="Verdana"/>
          <w:color w:val="000000"/>
          <w:sz w:val="17"/>
          <w:szCs w:val="17"/>
        </w:rPr>
        <w:t xml:space="preserve"> të gjithë veprimtarinë e organeve që varen prej tij;</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dh</w:t>
      </w:r>
      <w:proofErr w:type="gramEnd"/>
      <w:r>
        <w:rPr>
          <w:rFonts w:ascii="Verdana" w:hAnsi="Verdana"/>
          <w:color w:val="000000"/>
          <w:sz w:val="17"/>
          <w:szCs w:val="17"/>
        </w:rPr>
        <w:t>) miraton statutin, rregulloret e Urdhrit si dhe Kodin Etik dhe Deontologjik të Mjekut;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e) </w:t>
      </w:r>
      <w:proofErr w:type="gramStart"/>
      <w:r>
        <w:rPr>
          <w:rFonts w:ascii="Verdana" w:hAnsi="Verdana"/>
          <w:color w:val="000000"/>
          <w:sz w:val="17"/>
          <w:szCs w:val="17"/>
        </w:rPr>
        <w:t>ngre</w:t>
      </w:r>
      <w:proofErr w:type="gramEnd"/>
      <w:r>
        <w:rPr>
          <w:rFonts w:ascii="Verdana" w:hAnsi="Verdana"/>
          <w:color w:val="000000"/>
          <w:sz w:val="17"/>
          <w:szCs w:val="17"/>
        </w:rPr>
        <w:t xml:space="preserve"> grupe pune ad hoc për kryerjen e kontrolleve për ushtrimin e profesionit të mjekut.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3. Zgjedhjet për Këshillin Kombëtar bëhen çdo 5 vjet.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4. Zgjedhjet për Këshillin Kombëtar dhe ato për këshillat rajonalë bëhen në të njëjtën kohë.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14</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Këshillat rajonalë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1. Këshilli rajonal përbëhet nga 5 deri në 9 anëtarë, në varësi të numrit të anëtarëve të Urdhrit të Mjekëve.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Këshilli rajonal ka këto funksione: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këshilli</w:t>
      </w:r>
      <w:proofErr w:type="gramEnd"/>
      <w:r>
        <w:rPr>
          <w:rFonts w:ascii="Verdana" w:hAnsi="Verdana"/>
          <w:color w:val="000000"/>
          <w:sz w:val="17"/>
          <w:szCs w:val="17"/>
        </w:rPr>
        <w:t xml:space="preserve"> rajonal zgjedh presidentin dhe zëvendëspresidentin e tij;</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administron</w:t>
      </w:r>
      <w:proofErr w:type="gramEnd"/>
      <w:r>
        <w:rPr>
          <w:rFonts w:ascii="Verdana" w:hAnsi="Verdana"/>
          <w:color w:val="000000"/>
          <w:sz w:val="17"/>
          <w:szCs w:val="17"/>
        </w:rPr>
        <w:t xml:space="preserve"> buxhetin dhe të gjitha pasuritë e Urdhrit në nivel qarku;</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cakton</w:t>
      </w:r>
      <w:proofErr w:type="gramEnd"/>
      <w:r>
        <w:rPr>
          <w:rFonts w:ascii="Verdana" w:hAnsi="Verdana"/>
          <w:color w:val="000000"/>
          <w:sz w:val="17"/>
          <w:szCs w:val="17"/>
        </w:rPr>
        <w:t xml:space="preserve"> komisionin disiplinor në nivel qarku;</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ç) </w:t>
      </w:r>
      <w:proofErr w:type="gramStart"/>
      <w:r>
        <w:rPr>
          <w:rFonts w:ascii="Verdana" w:hAnsi="Verdana"/>
          <w:color w:val="000000"/>
          <w:sz w:val="17"/>
          <w:szCs w:val="17"/>
        </w:rPr>
        <w:t>ngre</w:t>
      </w:r>
      <w:proofErr w:type="gramEnd"/>
      <w:r>
        <w:rPr>
          <w:rFonts w:ascii="Verdana" w:hAnsi="Verdana"/>
          <w:color w:val="000000"/>
          <w:sz w:val="17"/>
          <w:szCs w:val="17"/>
        </w:rPr>
        <w:t xml:space="preserve"> gru pe pune ad hoc për kryerjen e kontrolleve për ushtrimin e profesionit të mjekut në nivel qarku.</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3. Zgjedhjet për këshillin rajonal bëhen çdo 5 vjet.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15</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Presidentët e Urdhrit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1. Presidentët e Urdhrit zgjidhen me votim të fshehtë nga Këshilli Kombëtar dhe ai rajonal midis </w:t>
      </w:r>
      <w:proofErr w:type="gramStart"/>
      <w:r>
        <w:rPr>
          <w:rFonts w:ascii="Verdana" w:hAnsi="Verdana"/>
          <w:color w:val="000000"/>
          <w:sz w:val="17"/>
          <w:szCs w:val="17"/>
        </w:rPr>
        <w:t>jo</w:t>
      </w:r>
      <w:proofErr w:type="gramEnd"/>
      <w:r>
        <w:rPr>
          <w:rFonts w:ascii="Verdana" w:hAnsi="Verdana"/>
          <w:color w:val="000000"/>
          <w:sz w:val="17"/>
          <w:szCs w:val="17"/>
        </w:rPr>
        <w:t xml:space="preserve"> më pak se 2 kandidaturave alternative.</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2. Këshilli Kombëtar zgjedh Presidentin e Urdhrit të Mjekëve me shumicën e votave të gjithë anëtarëve të tij.</w:t>
      </w:r>
      <w:proofErr w:type="gramEnd"/>
      <w:r>
        <w:rPr>
          <w:rFonts w:ascii="Verdana" w:hAnsi="Verdana"/>
          <w:color w:val="000000"/>
          <w:sz w:val="17"/>
          <w:szCs w:val="17"/>
        </w:rPr>
        <w:t xml:space="preserve"> </w:t>
      </w:r>
      <w:proofErr w:type="gramStart"/>
      <w:r>
        <w:rPr>
          <w:rFonts w:ascii="Verdana" w:hAnsi="Verdana"/>
          <w:color w:val="000000"/>
          <w:sz w:val="17"/>
          <w:szCs w:val="17"/>
        </w:rPr>
        <w:t>Mandati i presidentit është 5 vjet, me të drejtë rizgjedhjeje vetëm njëherë.</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3. Këshillat rajonalë zgjedhin presidentët përkatës të këshillave rajonalë. </w:t>
      </w:r>
      <w:proofErr w:type="gramStart"/>
      <w:r>
        <w:rPr>
          <w:rFonts w:ascii="Verdana" w:hAnsi="Verdana"/>
          <w:color w:val="000000"/>
          <w:sz w:val="17"/>
          <w:szCs w:val="17"/>
        </w:rPr>
        <w:t>Mandati i tyre është 5 vjet me të drejtë rizgjedhjeje vetëm një herë.</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4. Kandidaturat për presidentë të Urdhrit të Mjekëve duhet të përmbushin këto kritere: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të</w:t>
      </w:r>
      <w:proofErr w:type="gramEnd"/>
      <w:r>
        <w:rPr>
          <w:rFonts w:ascii="Verdana" w:hAnsi="Verdana"/>
          <w:color w:val="000000"/>
          <w:sz w:val="17"/>
          <w:szCs w:val="17"/>
        </w:rPr>
        <w:t xml:space="preserve"> jenë jo më shumë se në moshën e daljes në pension në momentin e zgjedhjes;</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të</w:t>
      </w:r>
      <w:proofErr w:type="gramEnd"/>
      <w:r>
        <w:rPr>
          <w:rFonts w:ascii="Verdana" w:hAnsi="Verdana"/>
          <w:color w:val="000000"/>
          <w:sz w:val="17"/>
          <w:szCs w:val="17"/>
        </w:rPr>
        <w:t xml:space="preserve"> kenë jo më pak se 15 vjet eksperiencë në profesion;</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të</w:t>
      </w:r>
      <w:proofErr w:type="gramEnd"/>
      <w:r>
        <w:rPr>
          <w:rFonts w:ascii="Verdana" w:hAnsi="Verdana"/>
          <w:color w:val="000000"/>
          <w:sz w:val="17"/>
          <w:szCs w:val="17"/>
        </w:rPr>
        <w:t xml:space="preserve"> kenë përvojë dhe të dhëna të besueshme për aftësi komunikimi, organizimi e drejtimi;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lastRenderedPageBreak/>
        <w:t xml:space="preserve">ç) </w:t>
      </w:r>
      <w:proofErr w:type="gramStart"/>
      <w:r>
        <w:rPr>
          <w:rFonts w:ascii="Verdana" w:hAnsi="Verdana"/>
          <w:color w:val="000000"/>
          <w:sz w:val="17"/>
          <w:szCs w:val="17"/>
        </w:rPr>
        <w:t>të</w:t>
      </w:r>
      <w:proofErr w:type="gramEnd"/>
      <w:r>
        <w:rPr>
          <w:rFonts w:ascii="Verdana" w:hAnsi="Verdana"/>
          <w:color w:val="000000"/>
          <w:sz w:val="17"/>
          <w:szCs w:val="17"/>
        </w:rPr>
        <w:t xml:space="preserve"> mos jenë marrë ndaj tyre masa ndëshkimore disiplinore në 5 vitet e fundit;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d) </w:t>
      </w:r>
      <w:proofErr w:type="gramStart"/>
      <w:r>
        <w:rPr>
          <w:rFonts w:ascii="Verdana" w:hAnsi="Verdana"/>
          <w:color w:val="000000"/>
          <w:sz w:val="17"/>
          <w:szCs w:val="17"/>
        </w:rPr>
        <w:t>të</w:t>
      </w:r>
      <w:proofErr w:type="gramEnd"/>
      <w:r>
        <w:rPr>
          <w:rFonts w:ascii="Verdana" w:hAnsi="Verdana"/>
          <w:color w:val="000000"/>
          <w:sz w:val="17"/>
          <w:szCs w:val="17"/>
        </w:rPr>
        <w:t xml:space="preserve"> kenë prestigj dhe reputacion etiko-moral dhe profesional;</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dh</w:t>
      </w:r>
      <w:proofErr w:type="gramEnd"/>
      <w:r>
        <w:rPr>
          <w:rFonts w:ascii="Verdana" w:hAnsi="Verdana"/>
          <w:color w:val="000000"/>
          <w:sz w:val="17"/>
          <w:szCs w:val="17"/>
        </w:rPr>
        <w:t>) të kenë kryer botime shkencore;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e) </w:t>
      </w:r>
      <w:proofErr w:type="gramStart"/>
      <w:r>
        <w:rPr>
          <w:rFonts w:ascii="Verdana" w:hAnsi="Verdana"/>
          <w:color w:val="000000"/>
          <w:sz w:val="17"/>
          <w:szCs w:val="17"/>
        </w:rPr>
        <w:t>të</w:t>
      </w:r>
      <w:proofErr w:type="gramEnd"/>
      <w:r>
        <w:rPr>
          <w:rFonts w:ascii="Verdana" w:hAnsi="Verdana"/>
          <w:color w:val="000000"/>
          <w:sz w:val="17"/>
          <w:szCs w:val="17"/>
        </w:rPr>
        <w:t xml:space="preserve"> mos jenë të dënuar me vendim të formës së prerë për kryerjen e një krimi apo për kryerjen e një kundërvajtjeje penale me dashje.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5. Funksioni i presidentëve të Urdhrit të Mjekëve është i papajtueshëm me çdo funksion tjetër administrativ, shtetëror apo politik.</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6. Presidentët e urdhrave e përfundojnë mandatin e tyre përpara kohe në këto raste: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kur</w:t>
      </w:r>
      <w:proofErr w:type="gramEnd"/>
      <w:r>
        <w:rPr>
          <w:rFonts w:ascii="Verdana" w:hAnsi="Verdana"/>
          <w:color w:val="000000"/>
          <w:sz w:val="17"/>
          <w:szCs w:val="17"/>
        </w:rPr>
        <w:t xml:space="preserve"> merret vendim nga Këshillit Kombëtar ose rajonal, me votat e jo më pak se dy të tretave të anëtarëve;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kur</w:t>
      </w:r>
      <w:proofErr w:type="gramEnd"/>
      <w:r>
        <w:rPr>
          <w:rFonts w:ascii="Verdana" w:hAnsi="Verdana"/>
          <w:color w:val="000000"/>
          <w:sz w:val="17"/>
          <w:szCs w:val="17"/>
        </w:rPr>
        <w:t xml:space="preserve"> japin dorëheqjen;</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kur</w:t>
      </w:r>
      <w:proofErr w:type="gramEnd"/>
      <w:r>
        <w:rPr>
          <w:rFonts w:ascii="Verdana" w:hAnsi="Verdana"/>
          <w:color w:val="000000"/>
          <w:sz w:val="17"/>
          <w:szCs w:val="17"/>
        </w:rPr>
        <w:t xml:space="preserve"> dënohen me vendim gjykate të formës së prerë për kryerjen e një vepre penale;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ç) </w:t>
      </w:r>
      <w:proofErr w:type="gramStart"/>
      <w:r>
        <w:rPr>
          <w:rFonts w:ascii="Verdana" w:hAnsi="Verdana"/>
          <w:color w:val="000000"/>
          <w:sz w:val="17"/>
          <w:szCs w:val="17"/>
        </w:rPr>
        <w:t>kur</w:t>
      </w:r>
      <w:proofErr w:type="gramEnd"/>
      <w:r>
        <w:rPr>
          <w:rFonts w:ascii="Verdana" w:hAnsi="Verdana"/>
          <w:color w:val="000000"/>
          <w:sz w:val="17"/>
          <w:szCs w:val="17"/>
        </w:rPr>
        <w:t xml:space="preserve"> humbasin zotësinë e plotë për të vepruar;</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d) </w:t>
      </w:r>
      <w:proofErr w:type="gramStart"/>
      <w:r>
        <w:rPr>
          <w:rFonts w:ascii="Verdana" w:hAnsi="Verdana"/>
          <w:color w:val="000000"/>
          <w:sz w:val="17"/>
          <w:szCs w:val="17"/>
        </w:rPr>
        <w:t>kur</w:t>
      </w:r>
      <w:proofErr w:type="gramEnd"/>
      <w:r>
        <w:rPr>
          <w:rFonts w:ascii="Verdana" w:hAnsi="Verdana"/>
          <w:color w:val="000000"/>
          <w:sz w:val="17"/>
          <w:szCs w:val="17"/>
        </w:rPr>
        <w:t xml:space="preserve"> bëhen të paaftë, për arsye shëndetësore, për të kryer detyrat e tyre, vërtetuar nga komisioni kompetent mjekësor.</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7. Procedura e zgjedhjes, detyrat dhe kompetencat e presidentëve të Urdhrit të Mjekëve përcaktohen në Statutin e Urdhrit.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16</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Komisionet disiplinore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1. Pranë këshillave rajonalë dhe Këshillit Kombëtar funksionojnë komisionet disiplinore si organizma të gjykimit profesional. </w:t>
      </w:r>
      <w:proofErr w:type="gramStart"/>
      <w:r>
        <w:rPr>
          <w:rFonts w:ascii="Verdana" w:hAnsi="Verdana"/>
          <w:color w:val="000000"/>
          <w:sz w:val="17"/>
          <w:szCs w:val="17"/>
        </w:rPr>
        <w:t>Komisioni disiplinor rajonal përbëhet nga 9 anëtarë të zgjedhur nga Këshilli Rajonal.</w:t>
      </w:r>
      <w:proofErr w:type="gramEnd"/>
      <w:r>
        <w:rPr>
          <w:rFonts w:ascii="Verdana" w:hAnsi="Verdana"/>
          <w:color w:val="000000"/>
          <w:sz w:val="17"/>
          <w:szCs w:val="17"/>
        </w:rPr>
        <w:t xml:space="preserve"> </w:t>
      </w:r>
      <w:proofErr w:type="gramStart"/>
      <w:r>
        <w:rPr>
          <w:rFonts w:ascii="Verdana" w:hAnsi="Verdana"/>
          <w:color w:val="000000"/>
          <w:sz w:val="17"/>
          <w:szCs w:val="17"/>
        </w:rPr>
        <w:t>Komisioni Disiplinor Kombëtar përbëhet nga 15 anëtarë të zgjedhur nga Këshilli Kombëtar.</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Komisioni shqyrton ankesat e bëra nga çdo person apo institucion në organet e Urdhrit, të cilat lidhen me ushtrimin e profesionit dhe përbëjnë shkelje të Kodit të Etikës dhe Deontologjisë Mjekësore.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3. Komisionet disiplinore, pranë këshillave rajonalë, ushtrojnë kompetenca disiplinore të shkallës së parë. </w:t>
      </w:r>
      <w:proofErr w:type="gramStart"/>
      <w:r>
        <w:rPr>
          <w:rFonts w:ascii="Verdana" w:hAnsi="Verdana"/>
          <w:color w:val="000000"/>
          <w:sz w:val="17"/>
          <w:szCs w:val="17"/>
        </w:rPr>
        <w:t>Vendimet e tyre janë të apelueshme në komisionin disiplinor të Këshillit Kombëtar, i cili ushtron kompetenca disiplinore të shkallës së dytë.</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4. Mënyra e ngritjes dhe funksionimit të komisioneve disiplinore përcaktohet në statutin dhe në rregulloren e gjykimit profesional të Urdhrit.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17</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Masat disiplinore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lastRenderedPageBreak/>
        <w:t>1. Komisioni disiplinor heton dhe gjykon në bazë të fakteve e provave të administruara dhe seancës dëgjimore me anëtarin e Urdhrit, ndaj të cilit mund të merret masa disiplinore. Kur vërtetohet se anëtari ka kryer shkelje të etikës, të Kodit Etik dhe Deontologjik ose ka bërë gabime teknike, ai jep këto masa:</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vërejtje</w:t>
      </w:r>
      <w:proofErr w:type="gramEnd"/>
      <w:r>
        <w:rPr>
          <w:rFonts w:ascii="Verdana" w:hAnsi="Verdana"/>
          <w:color w:val="000000"/>
          <w:sz w:val="17"/>
          <w:szCs w:val="17"/>
        </w:rPr>
        <w:t xml:space="preserve"> me shkrim;</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vërejtje</w:t>
      </w:r>
      <w:proofErr w:type="gramEnd"/>
      <w:r>
        <w:rPr>
          <w:rFonts w:ascii="Verdana" w:hAnsi="Verdana"/>
          <w:color w:val="000000"/>
          <w:sz w:val="17"/>
          <w:szCs w:val="17"/>
        </w:rPr>
        <w:t xml:space="preserve"> me paralajmërim;</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gjobë</w:t>
      </w:r>
      <w:proofErr w:type="gramEnd"/>
      <w:r>
        <w:rPr>
          <w:rFonts w:ascii="Verdana" w:hAnsi="Verdana"/>
          <w:color w:val="000000"/>
          <w:sz w:val="17"/>
          <w:szCs w:val="17"/>
        </w:rPr>
        <w:t xml:space="preserve"> nga 15 000 (pesëmbëdhjetë mijë) lekë deri 100 000 (njëqind mijë) lekë;</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ç) </w:t>
      </w:r>
      <w:proofErr w:type="gramStart"/>
      <w:r>
        <w:rPr>
          <w:rFonts w:ascii="Verdana" w:hAnsi="Verdana"/>
          <w:color w:val="000000"/>
          <w:sz w:val="17"/>
          <w:szCs w:val="17"/>
        </w:rPr>
        <w:t>propozim</w:t>
      </w:r>
      <w:proofErr w:type="gramEnd"/>
      <w:r>
        <w:rPr>
          <w:rFonts w:ascii="Verdana" w:hAnsi="Verdana"/>
          <w:color w:val="000000"/>
          <w:sz w:val="17"/>
          <w:szCs w:val="17"/>
        </w:rPr>
        <w:t xml:space="preserve"> për shkarkim nga funksione drejtuese në institucione shëndetësore publike dhe private.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d) </w:t>
      </w:r>
      <w:proofErr w:type="gramStart"/>
      <w:r>
        <w:rPr>
          <w:rFonts w:ascii="Verdana" w:hAnsi="Verdana"/>
          <w:color w:val="000000"/>
          <w:sz w:val="17"/>
          <w:szCs w:val="17"/>
        </w:rPr>
        <w:t>pezullim</w:t>
      </w:r>
      <w:proofErr w:type="gramEnd"/>
      <w:r>
        <w:rPr>
          <w:rFonts w:ascii="Verdana" w:hAnsi="Verdana"/>
          <w:color w:val="000000"/>
          <w:sz w:val="17"/>
          <w:szCs w:val="17"/>
        </w:rPr>
        <w:t xml:space="preserve"> nga e drejta e zgjedhjes në organet drejtuese të Urdhrit të Mjekëve deri në 3 vjet.</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dh</w:t>
      </w:r>
      <w:proofErr w:type="gramEnd"/>
      <w:r>
        <w:rPr>
          <w:rFonts w:ascii="Verdana" w:hAnsi="Verdana"/>
          <w:color w:val="000000"/>
          <w:sz w:val="17"/>
          <w:szCs w:val="17"/>
        </w:rPr>
        <w:t>) përjashtim nga Urdhri i Mjekëve për një periudhë deri në 3 vjet.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Përveç masave të parashikuara në pikën 1, të këtij neni, si masë plotësuese, komisioni ka të drejtë t'u caktojë të ndëshkuarve kryerjen e një rikualifikimi ose të studimeve plotësuese, të barabarta me 20 kredite.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3. Masat disiplinore, të përcaktuara në pikën 1, të këtij neni, mund të shlyhen në qoftë se ndaj anëtarit nuk është marrë ndonjë masë tjetër disiplinore: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i) brenda 1 viti nga data e dhënies së tyre, për shkronjat "a" dhe "b", të pikës 1, të këtij neni;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ii) brenda 3 vjetëve nga data e dhënies së tyre, për shkronjat "ç", "d" e "dh", të pikës 1, të këtij neni.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4. Gjoba e vendosur sipas shkronjës "c", të pikës 1, të këtij neni, derdhet në Buxhetin e Shtetit.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18</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Ankimi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1. Ankesat kundër vendimeve për marrjen e masave disiplinore nga komisioni disiplinor i këshillit rajonal paraqiten në komisionin disiplinor të Këshillit Kombëtar të Urdhrit të Mjekëve Brenda 15 ditëve nga data e komunikimit me shkrim të vendimit.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 xml:space="preserve">2. Komisioni disiplinor, </w:t>
      </w:r>
      <w:proofErr w:type="gramStart"/>
      <w:r>
        <w:rPr>
          <w:rFonts w:ascii="Verdana" w:hAnsi="Verdana"/>
          <w:color w:val="000000"/>
          <w:sz w:val="17"/>
          <w:szCs w:val="17"/>
        </w:rPr>
        <w:t>brenda</w:t>
      </w:r>
      <w:proofErr w:type="gramEnd"/>
      <w:r>
        <w:rPr>
          <w:rFonts w:ascii="Verdana" w:hAnsi="Verdana"/>
          <w:color w:val="000000"/>
          <w:sz w:val="17"/>
          <w:szCs w:val="17"/>
        </w:rPr>
        <w:t xml:space="preserve"> 60 ditëve nga data e marrjes së ankesës, detyrohet të japë vendimin për ankesën e paraqitur. </w:t>
      </w:r>
      <w:proofErr w:type="gramStart"/>
      <w:r>
        <w:rPr>
          <w:rFonts w:ascii="Verdana" w:hAnsi="Verdana"/>
          <w:color w:val="000000"/>
          <w:sz w:val="17"/>
          <w:szCs w:val="17"/>
        </w:rPr>
        <w:t>Vendimi i komisionit disiplinor të Këshillit Kombëtar ankimohet në gjykatën kompetente për zgjidhjen e mosmarrëveshjeve administrative.</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19</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Kodi i Etikës dhe Deontologjisë Mjekësore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1. Kodi i Etikës dhe D eontologjisë Mjekësore është dokumenti themelor i profesionit mjekësor, në të cilin materializohen të gjithë parimet dhe standardet profesionale të detyrueshme për t'u njohur e zbatuar nga çdo anëtar i Urdhrit në praktikën mjekësore, si edhe nga çdo institucion shëndetësor.</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2. Këshilli Kombëtar harton dhe miraton Kodin e Etikës dhe Deontologjisë Mjekësore.</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KREU IV</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lastRenderedPageBreak/>
        <w:t>DISPOZITA KALIMTARE DHE TË FUNDIT</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20</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Përmirësimi i dokumenteve të Urdhrit</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Këshilli Kombëtar i Urdhrit harton dhe përmirëson Kodin e Etikës dhe Deontologjisë Mjekësore, statutin dhe rregulloret e tij pas hyrjes në fuqi të këtij ligji.</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21</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Transferimi</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1. Jo më vonë se 6 muaj nga hyrja në fuqi e këtij ligji, bëhen zgjedhjet e organeve drejtuese të Urdhrit dhe riorganizimi i tyre në përputhje me këtë ligj.</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2. Jo më vonë se 6 muaj nga hyrja në fuqi e këtij ligji, gjithë dokumentacioni dhe arkivi i lejeve të ushtrimit të profesionit të stomatologut, të dhëna deri në momentin e hyrjes në fuqi të këtij ligji, i transferohen Urdhrit të Stomatologëve.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22</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Shfuqizimi</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Ligji nr.</w:t>
      </w:r>
      <w:proofErr w:type="gramEnd"/>
      <w:r>
        <w:rPr>
          <w:rFonts w:ascii="Verdana" w:hAnsi="Verdana"/>
          <w:color w:val="000000"/>
          <w:sz w:val="17"/>
          <w:szCs w:val="17"/>
        </w:rPr>
        <w:t xml:space="preserve"> </w:t>
      </w:r>
      <w:proofErr w:type="gramStart"/>
      <w:r>
        <w:rPr>
          <w:rFonts w:ascii="Verdana" w:hAnsi="Verdana"/>
          <w:color w:val="000000"/>
          <w:sz w:val="17"/>
          <w:szCs w:val="17"/>
        </w:rPr>
        <w:t>8615, datë 1.6.2000, "Për Urdhrin e Mjekëve në Republikën e Shqipërisë", i ndryshuar, si dhe çdo dispozitë tjetër, që bie në kundërshtim me këtë ligj, shfuqizohen.</w:t>
      </w:r>
      <w:proofErr w:type="gramEnd"/>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Neni 23</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Hyrja në fuqi</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Ky</w:t>
      </w:r>
      <w:proofErr w:type="gramEnd"/>
      <w:r>
        <w:rPr>
          <w:rFonts w:ascii="Verdana" w:hAnsi="Verdana"/>
          <w:color w:val="000000"/>
          <w:sz w:val="17"/>
          <w:szCs w:val="17"/>
        </w:rPr>
        <w:t xml:space="preserve"> ligj hyn në fuqi 15 ditë pas botimit në Fletoren Zyrtare.</w:t>
      </w:r>
    </w:p>
    <w:p w:rsidR="000655D9" w:rsidRDefault="000655D9" w:rsidP="000655D9">
      <w:pPr>
        <w:pStyle w:val="NormalWeb"/>
        <w:spacing w:line="226" w:lineRule="atLeast"/>
        <w:rPr>
          <w:rFonts w:ascii="Verdana" w:hAnsi="Verdana"/>
          <w:color w:val="000000"/>
          <w:sz w:val="17"/>
          <w:szCs w:val="17"/>
        </w:rPr>
      </w:pPr>
      <w:r>
        <w:rPr>
          <w:rFonts w:ascii="Verdana" w:hAnsi="Verdana"/>
          <w:color w:val="000000"/>
          <w:sz w:val="17"/>
          <w:szCs w:val="17"/>
        </w:rPr>
        <w:t>Miratuar në datën 25.9.2014</w:t>
      </w:r>
    </w:p>
    <w:p w:rsidR="000655D9" w:rsidRDefault="000655D9" w:rsidP="000655D9">
      <w:pPr>
        <w:pStyle w:val="NormalWeb"/>
        <w:spacing w:line="226" w:lineRule="atLeast"/>
        <w:rPr>
          <w:rFonts w:ascii="Verdana" w:hAnsi="Verdana"/>
          <w:color w:val="000000"/>
          <w:sz w:val="17"/>
          <w:szCs w:val="17"/>
        </w:rPr>
      </w:pPr>
      <w:proofErr w:type="gramStart"/>
      <w:r>
        <w:rPr>
          <w:rFonts w:ascii="Verdana" w:hAnsi="Verdana"/>
          <w:color w:val="000000"/>
          <w:sz w:val="17"/>
          <w:szCs w:val="17"/>
        </w:rPr>
        <w:t>Shpallur me dekretin nr.</w:t>
      </w:r>
      <w:proofErr w:type="gramEnd"/>
      <w:r>
        <w:rPr>
          <w:rFonts w:ascii="Verdana" w:hAnsi="Verdana"/>
          <w:color w:val="000000"/>
          <w:sz w:val="17"/>
          <w:szCs w:val="17"/>
        </w:rPr>
        <w:t xml:space="preserve"> 8739, datë 14.10.2014 të Presidentit të Republikës së Shqipërisë, Bujar Nishani</w:t>
      </w:r>
    </w:p>
    <w:p w:rsidR="007D1C75" w:rsidRDefault="000655D9"/>
    <w:sectPr w:rsidR="007D1C75" w:rsidSect="00545A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0655D9"/>
    <w:rsid w:val="000373E8"/>
    <w:rsid w:val="000655D9"/>
    <w:rsid w:val="004950DE"/>
    <w:rsid w:val="00545A4B"/>
    <w:rsid w:val="00E647A2"/>
    <w:rsid w:val="00F97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2" w:lineRule="auto"/>
        <w:ind w:left="11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5D9"/>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450264">
      <w:bodyDiv w:val="1"/>
      <w:marLeft w:val="0"/>
      <w:marRight w:val="0"/>
      <w:marTop w:val="0"/>
      <w:marBottom w:val="0"/>
      <w:divBdr>
        <w:top w:val="none" w:sz="0" w:space="0" w:color="auto"/>
        <w:left w:val="none" w:sz="0" w:space="0" w:color="auto"/>
        <w:bottom w:val="none" w:sz="0" w:space="0" w:color="auto"/>
        <w:right w:val="none" w:sz="0" w:space="0" w:color="auto"/>
      </w:divBdr>
    </w:div>
    <w:div w:id="409815961">
      <w:bodyDiv w:val="1"/>
      <w:marLeft w:val="0"/>
      <w:marRight w:val="0"/>
      <w:marTop w:val="0"/>
      <w:marBottom w:val="0"/>
      <w:divBdr>
        <w:top w:val="none" w:sz="0" w:space="0" w:color="auto"/>
        <w:left w:val="none" w:sz="0" w:space="0" w:color="auto"/>
        <w:bottom w:val="none" w:sz="0" w:space="0" w:color="auto"/>
        <w:right w:val="none" w:sz="0" w:space="0" w:color="auto"/>
      </w:divBdr>
    </w:div>
    <w:div w:id="446509499">
      <w:bodyDiv w:val="1"/>
      <w:marLeft w:val="0"/>
      <w:marRight w:val="0"/>
      <w:marTop w:val="0"/>
      <w:marBottom w:val="0"/>
      <w:divBdr>
        <w:top w:val="none" w:sz="0" w:space="0" w:color="auto"/>
        <w:left w:val="none" w:sz="0" w:space="0" w:color="auto"/>
        <w:bottom w:val="none" w:sz="0" w:space="0" w:color="auto"/>
        <w:right w:val="none" w:sz="0" w:space="0" w:color="auto"/>
      </w:divBdr>
    </w:div>
    <w:div w:id="956105598">
      <w:bodyDiv w:val="1"/>
      <w:marLeft w:val="0"/>
      <w:marRight w:val="0"/>
      <w:marTop w:val="0"/>
      <w:marBottom w:val="0"/>
      <w:divBdr>
        <w:top w:val="none" w:sz="0" w:space="0" w:color="auto"/>
        <w:left w:val="none" w:sz="0" w:space="0" w:color="auto"/>
        <w:bottom w:val="none" w:sz="0" w:space="0" w:color="auto"/>
        <w:right w:val="none" w:sz="0" w:space="0" w:color="auto"/>
      </w:divBdr>
    </w:div>
    <w:div w:id="1010982621">
      <w:bodyDiv w:val="1"/>
      <w:marLeft w:val="0"/>
      <w:marRight w:val="0"/>
      <w:marTop w:val="0"/>
      <w:marBottom w:val="0"/>
      <w:divBdr>
        <w:top w:val="none" w:sz="0" w:space="0" w:color="auto"/>
        <w:left w:val="none" w:sz="0" w:space="0" w:color="auto"/>
        <w:bottom w:val="none" w:sz="0" w:space="0" w:color="auto"/>
        <w:right w:val="none" w:sz="0" w:space="0" w:color="auto"/>
      </w:divBdr>
    </w:div>
    <w:div w:id="1714384770">
      <w:bodyDiv w:val="1"/>
      <w:marLeft w:val="0"/>
      <w:marRight w:val="0"/>
      <w:marTop w:val="0"/>
      <w:marBottom w:val="0"/>
      <w:divBdr>
        <w:top w:val="none" w:sz="0" w:space="0" w:color="auto"/>
        <w:left w:val="none" w:sz="0" w:space="0" w:color="auto"/>
        <w:bottom w:val="none" w:sz="0" w:space="0" w:color="auto"/>
        <w:right w:val="none" w:sz="0" w:space="0" w:color="auto"/>
      </w:divBdr>
    </w:div>
    <w:div w:id="20783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2446</Words>
  <Characters>13946</Characters>
  <Application>Microsoft Office Word</Application>
  <DocSecurity>0</DocSecurity>
  <Lines>116</Lines>
  <Paragraphs>32</Paragraphs>
  <ScaleCrop>false</ScaleCrop>
  <Company>Fastech</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2017-01-27T21:47:00Z</dcterms:created>
  <dcterms:modified xsi:type="dcterms:W3CDTF">2017-01-27T21:53:00Z</dcterms:modified>
</cp:coreProperties>
</file>